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7D" w:rsidRPr="00FD477D" w:rsidRDefault="00FD477D" w:rsidP="00FD477D">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FD477D">
        <w:rPr>
          <w:rFonts w:ascii="Arial" w:eastAsia="Times New Roman" w:hAnsi="Arial" w:cs="Arial"/>
          <w:b/>
          <w:bCs/>
          <w:color w:val="000000"/>
          <w:kern w:val="36"/>
          <w:sz w:val="27"/>
          <w:szCs w:val="27"/>
          <w:lang w:eastAsia="tr-TR"/>
        </w:rPr>
        <w:t>Gübre İthaline İlişkin Tebliğ (İthalat: 2022/16) (31.12.2021 t. 31706 s. 3.mük R.G.)</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Ticaret Bakanlığından:</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Amaç ve kapsam</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1</w:t>
      </w:r>
      <w:r w:rsidRPr="00FD477D">
        <w:rPr>
          <w:rFonts w:ascii="Arial" w:eastAsia="Times New Roman" w:hAnsi="Arial" w:cs="Arial"/>
          <w:color w:val="000000"/>
          <w:sz w:val="21"/>
          <w:szCs w:val="21"/>
          <w:lang w:eastAsia="tr-TR"/>
        </w:rPr>
        <w:t> – (1) Bu Tebliğin amacı, </w:t>
      </w:r>
      <w:hyperlink r:id="rId5" w:anchor="Ek1" w:history="1">
        <w:r w:rsidRPr="00FD477D">
          <w:rPr>
            <w:rFonts w:ascii="Arial" w:eastAsia="Times New Roman" w:hAnsi="Arial" w:cs="Arial"/>
            <w:color w:val="000080"/>
            <w:sz w:val="21"/>
            <w:szCs w:val="21"/>
            <w:u w:val="single"/>
            <w:lang w:eastAsia="tr-TR"/>
          </w:rPr>
          <w:t>Ek-1</w:t>
        </w:r>
      </w:hyperlink>
      <w:r w:rsidRPr="00FD477D">
        <w:rPr>
          <w:rFonts w:ascii="Arial" w:eastAsia="Times New Roman" w:hAnsi="Arial" w:cs="Arial"/>
          <w:color w:val="000000"/>
          <w:sz w:val="21"/>
          <w:szCs w:val="21"/>
          <w:lang w:eastAsia="tr-TR"/>
        </w:rPr>
        <w:t>, </w:t>
      </w:r>
      <w:hyperlink r:id="rId6" w:anchor="Ek2" w:history="1">
        <w:r w:rsidRPr="00FD477D">
          <w:rPr>
            <w:rFonts w:ascii="Arial" w:eastAsia="Times New Roman" w:hAnsi="Arial" w:cs="Arial"/>
            <w:color w:val="000080"/>
            <w:sz w:val="21"/>
            <w:szCs w:val="21"/>
            <w:u w:val="single"/>
            <w:lang w:eastAsia="tr-TR"/>
          </w:rPr>
          <w:t>Ek-2</w:t>
        </w:r>
      </w:hyperlink>
      <w:r w:rsidRPr="00FD477D">
        <w:rPr>
          <w:rFonts w:ascii="Arial" w:eastAsia="Times New Roman" w:hAnsi="Arial" w:cs="Arial"/>
          <w:color w:val="000000"/>
          <w:sz w:val="21"/>
          <w:szCs w:val="21"/>
          <w:lang w:eastAsia="tr-TR"/>
        </w:rPr>
        <w:t>’de yer alan ürünlerin ithalatının düzenlenmesidir.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Dayanak</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2</w:t>
      </w:r>
      <w:r w:rsidRPr="00FD477D">
        <w:rPr>
          <w:rFonts w:ascii="Arial" w:eastAsia="Times New Roman" w:hAnsi="Arial" w:cs="Arial"/>
          <w:color w:val="000000"/>
          <w:sz w:val="21"/>
          <w:szCs w:val="21"/>
          <w:lang w:eastAsia="tr-TR"/>
        </w:rPr>
        <w:t> – (1) Bu Tebliğ, 1 sayılı Cumhurbaşkanlığı Teşkilatı Hakkında Cumhurbaşkanlığı Kararnamesinin </w:t>
      </w:r>
      <w:hyperlink r:id="rId7" w:anchor="M445" w:history="1">
        <w:r w:rsidRPr="00FD477D">
          <w:rPr>
            <w:rFonts w:ascii="Arial" w:eastAsia="Times New Roman" w:hAnsi="Arial" w:cs="Arial"/>
            <w:color w:val="000080"/>
            <w:sz w:val="21"/>
            <w:szCs w:val="21"/>
            <w:u w:val="single"/>
            <w:lang w:eastAsia="tr-TR"/>
          </w:rPr>
          <w:t>445 inci maddesi</w:t>
        </w:r>
      </w:hyperlink>
      <w:r w:rsidRPr="00FD477D">
        <w:rPr>
          <w:rFonts w:ascii="Arial" w:eastAsia="Times New Roman" w:hAnsi="Arial" w:cs="Arial"/>
          <w:color w:val="000000"/>
          <w:sz w:val="21"/>
          <w:szCs w:val="21"/>
          <w:lang w:eastAsia="tr-TR"/>
        </w:rPr>
        <w:t> ile 31/12/2020 tarihli ve 3350 sayılı Cumhurbaşkanı Kararı ile yürürlüğe konulan </w:t>
      </w:r>
      <w:hyperlink r:id="rId8" w:history="1">
        <w:r w:rsidRPr="00FD477D">
          <w:rPr>
            <w:rFonts w:ascii="Arial" w:eastAsia="Times New Roman" w:hAnsi="Arial" w:cs="Arial"/>
            <w:color w:val="000080"/>
            <w:sz w:val="21"/>
            <w:szCs w:val="21"/>
            <w:u w:val="single"/>
            <w:lang w:eastAsia="tr-TR"/>
          </w:rPr>
          <w:t>İthalat Rejimi Kararına</w:t>
        </w:r>
      </w:hyperlink>
      <w:r w:rsidRPr="00FD477D">
        <w:rPr>
          <w:rFonts w:ascii="Arial" w:eastAsia="Times New Roman" w:hAnsi="Arial" w:cs="Arial"/>
          <w:color w:val="000000"/>
          <w:sz w:val="21"/>
          <w:szCs w:val="21"/>
          <w:lang w:eastAsia="tr-TR"/>
        </w:rPr>
        <w:t> dayanılarak hazırlanmıştır.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Tarım ve Orman Bakanlığının Uygunluk Yazısına tabi eşya</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3 </w:t>
      </w:r>
      <w:r w:rsidRPr="00FD477D">
        <w:rPr>
          <w:rFonts w:ascii="Arial" w:eastAsia="Times New Roman" w:hAnsi="Arial" w:cs="Arial"/>
          <w:color w:val="000000"/>
          <w:sz w:val="21"/>
          <w:szCs w:val="21"/>
          <w:lang w:eastAsia="tr-TR"/>
        </w:rPr>
        <w:t>– (1) </w:t>
      </w:r>
      <w:hyperlink r:id="rId9" w:anchor="Ek1" w:history="1">
        <w:r w:rsidRPr="00FD477D">
          <w:rPr>
            <w:rFonts w:ascii="Arial" w:eastAsia="Times New Roman" w:hAnsi="Arial" w:cs="Arial"/>
            <w:color w:val="000080"/>
            <w:sz w:val="21"/>
            <w:szCs w:val="21"/>
            <w:u w:val="single"/>
            <w:lang w:eastAsia="tr-TR"/>
          </w:rPr>
          <w:t>Ek-1</w:t>
        </w:r>
      </w:hyperlink>
      <w:r w:rsidRPr="00FD477D">
        <w:rPr>
          <w:rFonts w:ascii="Arial" w:eastAsia="Times New Roman" w:hAnsi="Arial" w:cs="Arial"/>
          <w:color w:val="000000"/>
          <w:sz w:val="21"/>
          <w:szCs w:val="21"/>
          <w:lang w:eastAsia="tr-TR"/>
        </w:rPr>
        <w:t> ve </w:t>
      </w:r>
      <w:hyperlink r:id="rId10" w:anchor="Ek2" w:history="1">
        <w:r w:rsidRPr="00FD477D">
          <w:rPr>
            <w:rFonts w:ascii="Arial" w:eastAsia="Times New Roman" w:hAnsi="Arial" w:cs="Arial"/>
            <w:color w:val="000080"/>
            <w:sz w:val="21"/>
            <w:szCs w:val="21"/>
            <w:u w:val="single"/>
            <w:lang w:eastAsia="tr-TR"/>
          </w:rPr>
          <w:t>Ek-2</w:t>
        </w:r>
      </w:hyperlink>
      <w:r w:rsidRPr="00FD477D">
        <w:rPr>
          <w:rFonts w:ascii="Arial" w:eastAsia="Times New Roman" w:hAnsi="Arial" w:cs="Arial"/>
          <w:color w:val="000000"/>
          <w:sz w:val="21"/>
          <w:szCs w:val="21"/>
          <w:lang w:eastAsia="tr-TR"/>
        </w:rPr>
        <w:t>’de gümrük tarife pozisyonları (GTP) ve tanımları belirtilen eşyanın Serbest Dolaşıma Giriş Rejimi, Dâhilde İşleme Rejimi, Gümrük Kontrolü Altında İşleme Rejimi ve Geçici İthalat Rejimine tabi tutulması halinde, gümrük beyannamelerinin tescilinde; gümrük idarelerince Tarım ve Orman Bakanlığının fiziksel olarak veya Tek Pencere Sistemi üzerinden elektronik olarak düzenleyeceği Uygunluk Yazısı aranır.</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color w:val="000000"/>
          <w:sz w:val="21"/>
          <w:szCs w:val="21"/>
          <w:lang w:eastAsia="tr-TR"/>
        </w:rPr>
        <w:t>(2) </w:t>
      </w:r>
      <w:hyperlink r:id="rId11" w:anchor="Ek2" w:history="1">
        <w:r w:rsidRPr="00FD477D">
          <w:rPr>
            <w:rFonts w:ascii="Arial" w:eastAsia="Times New Roman" w:hAnsi="Arial" w:cs="Arial"/>
            <w:color w:val="000080"/>
            <w:sz w:val="21"/>
            <w:szCs w:val="21"/>
            <w:u w:val="single"/>
            <w:lang w:eastAsia="tr-TR"/>
          </w:rPr>
          <w:t>Ek-2</w:t>
        </w:r>
      </w:hyperlink>
      <w:r w:rsidRPr="00FD477D">
        <w:rPr>
          <w:rFonts w:ascii="Arial" w:eastAsia="Times New Roman" w:hAnsi="Arial" w:cs="Arial"/>
          <w:color w:val="000000"/>
          <w:sz w:val="21"/>
          <w:szCs w:val="21"/>
          <w:lang w:eastAsia="tr-TR"/>
        </w:rPr>
        <w:t>’de yer alan, Avrupa Birliğinde serbest dolaşım statüsü kazanmış eşyanın ithalatı serbesttir.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Gübre harici eşyanın ithalatı</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4</w:t>
      </w:r>
      <w:r w:rsidRPr="00FD477D">
        <w:rPr>
          <w:rFonts w:ascii="Arial" w:eastAsia="Times New Roman" w:hAnsi="Arial" w:cs="Arial"/>
          <w:color w:val="000000"/>
          <w:sz w:val="21"/>
          <w:szCs w:val="21"/>
          <w:lang w:eastAsia="tr-TR"/>
        </w:rPr>
        <w:t> – (1) </w:t>
      </w:r>
      <w:hyperlink r:id="rId12" w:anchor="Ek1" w:history="1">
        <w:r w:rsidRPr="00FD477D">
          <w:rPr>
            <w:rFonts w:ascii="Arial" w:eastAsia="Times New Roman" w:hAnsi="Arial" w:cs="Arial"/>
            <w:color w:val="000080"/>
            <w:sz w:val="21"/>
            <w:szCs w:val="21"/>
            <w:u w:val="single"/>
            <w:lang w:eastAsia="tr-TR"/>
          </w:rPr>
          <w:t>Ek-1</w:t>
        </w:r>
      </w:hyperlink>
      <w:r w:rsidRPr="00FD477D">
        <w:rPr>
          <w:rFonts w:ascii="Arial" w:eastAsia="Times New Roman" w:hAnsi="Arial" w:cs="Arial"/>
          <w:color w:val="000000"/>
          <w:sz w:val="21"/>
          <w:szCs w:val="21"/>
          <w:lang w:eastAsia="tr-TR"/>
        </w:rPr>
        <w:t> ve </w:t>
      </w:r>
      <w:hyperlink r:id="rId13" w:anchor="Ek2" w:history="1">
        <w:r w:rsidRPr="00FD477D">
          <w:rPr>
            <w:rFonts w:ascii="Arial" w:eastAsia="Times New Roman" w:hAnsi="Arial" w:cs="Arial"/>
            <w:color w:val="000080"/>
            <w:sz w:val="21"/>
            <w:szCs w:val="21"/>
            <w:u w:val="single"/>
            <w:lang w:eastAsia="tr-TR"/>
          </w:rPr>
          <w:t>Ek-2</w:t>
        </w:r>
      </w:hyperlink>
      <w:r w:rsidRPr="00FD477D">
        <w:rPr>
          <w:rFonts w:ascii="Arial" w:eastAsia="Times New Roman" w:hAnsi="Arial" w:cs="Arial"/>
          <w:color w:val="000000"/>
          <w:sz w:val="21"/>
          <w:szCs w:val="21"/>
          <w:lang w:eastAsia="tr-TR"/>
        </w:rPr>
        <w:t>’de yer alan maddelerden 2832.30.00.20.00, 2832.30.00.90.00, 2834.21, 2834.29.80.11.00, 2834.29.80.12.00, 2834.29.80.19.00, 3002.49.00.00.00, 3824.84.00.00.00, 3824.85.00.00.00, 3824.86.00.00.00, 3824.87.00.00.00, 3824.88.00.00.00, 3824.99.92.00.39, 3824.99.93.00.19, 3824.99.96.90.68 G.T.P.’lerinde yer alanların gübre olarak kullanılmayacak olması halinde, ithalatında uygunluk yazısı aranmaz.</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color w:val="000000"/>
          <w:sz w:val="21"/>
          <w:szCs w:val="21"/>
          <w:lang w:eastAsia="tr-TR"/>
        </w:rPr>
        <w:t>(2) Birinci fıkrada belirtilen maddelerin dışında kalan </w:t>
      </w:r>
      <w:hyperlink r:id="rId14" w:anchor="Ek1" w:history="1">
        <w:r w:rsidRPr="00FD477D">
          <w:rPr>
            <w:rFonts w:ascii="Arial" w:eastAsia="Times New Roman" w:hAnsi="Arial" w:cs="Arial"/>
            <w:color w:val="000080"/>
            <w:sz w:val="21"/>
            <w:szCs w:val="21"/>
            <w:u w:val="single"/>
            <w:lang w:eastAsia="tr-TR"/>
          </w:rPr>
          <w:t>Ek-1</w:t>
        </w:r>
      </w:hyperlink>
      <w:r w:rsidRPr="00FD477D">
        <w:rPr>
          <w:rFonts w:ascii="Arial" w:eastAsia="Times New Roman" w:hAnsi="Arial" w:cs="Arial"/>
          <w:color w:val="000000"/>
          <w:sz w:val="21"/>
          <w:szCs w:val="21"/>
          <w:lang w:eastAsia="tr-TR"/>
        </w:rPr>
        <w:t> ve </w:t>
      </w:r>
      <w:hyperlink r:id="rId15" w:anchor="Ek2" w:history="1">
        <w:r w:rsidRPr="00FD477D">
          <w:rPr>
            <w:rFonts w:ascii="Arial" w:eastAsia="Times New Roman" w:hAnsi="Arial" w:cs="Arial"/>
            <w:color w:val="000080"/>
            <w:sz w:val="21"/>
            <w:szCs w:val="21"/>
            <w:u w:val="single"/>
            <w:lang w:eastAsia="tr-TR"/>
          </w:rPr>
          <w:t>Ek-2</w:t>
        </w:r>
      </w:hyperlink>
      <w:r w:rsidRPr="00FD477D">
        <w:rPr>
          <w:rFonts w:ascii="Arial" w:eastAsia="Times New Roman" w:hAnsi="Arial" w:cs="Arial"/>
          <w:color w:val="000000"/>
          <w:sz w:val="21"/>
          <w:szCs w:val="21"/>
          <w:lang w:eastAsia="tr-TR"/>
        </w:rPr>
        <w:t>’deki eşyanın gübre olarak kullanılmayacak olması halinde, Uygunluk Yazısı yerine geçerli olan Tarım ve Orman Bakanlığınca düzenlenecek belgeye istinaden işlem yapılır.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Uygunluk Yazısının iadesi</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5</w:t>
      </w:r>
      <w:r w:rsidRPr="00FD477D">
        <w:rPr>
          <w:rFonts w:ascii="Arial" w:eastAsia="Times New Roman" w:hAnsi="Arial" w:cs="Arial"/>
          <w:color w:val="000000"/>
          <w:sz w:val="21"/>
          <w:szCs w:val="21"/>
          <w:lang w:eastAsia="tr-TR"/>
        </w:rPr>
        <w:t> – (1) Serbest Dolaşıma Giriş Rejimi, Dâhilde İşleme Rejimi, Gümrük Kontrolü Altında İşleme Rejimi ve Geçici İthalat Rejimi kapsamında ithalatın kısmen ya da tamamen gerçekleşmesini müteakip on beş iş günü içinde gümrük beyannamesinin ilgili gümrük idaresince onaylanmış bir sureti ve her halükarda Uygunluk Yazısının geçerlilik süresinin bitimini müteakip on beş iş günü içinde elektronik olarak düzenlenenler hariç olmak üzere Uygunluk Yazısının aslı, ithalatı gerçekleştiren firmalarca Tarım ve Orman Bakanlığına iade edilir.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Diğer mevzuat</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6</w:t>
      </w:r>
      <w:r w:rsidRPr="00FD477D">
        <w:rPr>
          <w:rFonts w:ascii="Arial" w:eastAsia="Times New Roman" w:hAnsi="Arial" w:cs="Arial"/>
          <w:color w:val="000000"/>
          <w:sz w:val="21"/>
          <w:szCs w:val="21"/>
          <w:lang w:eastAsia="tr-TR"/>
        </w:rPr>
        <w:t> – (1) Bu Tebliğe aykırı hareket edenler ve yanlış veya yanıltıcı beyanda bulunanlar hakkında, 21/3/2007 tarihli ve 5607 sayılı Kaçakçılıkla Mücadele Kanunu ve 27/10/1999 tarihli ve 4458 sayılı Gümrük Kanununun ilgili hükümleri çerçevesinde işlem yapılır.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Yürürlükten kaldırılan tebliğ</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7</w:t>
      </w:r>
      <w:r w:rsidRPr="00FD477D">
        <w:rPr>
          <w:rFonts w:ascii="Arial" w:eastAsia="Times New Roman" w:hAnsi="Arial" w:cs="Arial"/>
          <w:color w:val="000000"/>
          <w:sz w:val="21"/>
          <w:szCs w:val="21"/>
          <w:lang w:eastAsia="tr-TR"/>
        </w:rPr>
        <w:t> – (1) 31/12/2020 tarihli ve 31351 üçüncü mükerrer sayılı Resmî Gazete’de yayımlanan </w:t>
      </w:r>
      <w:hyperlink r:id="rId16" w:history="1">
        <w:r w:rsidRPr="00FD477D">
          <w:rPr>
            <w:rFonts w:ascii="Arial" w:eastAsia="Times New Roman" w:hAnsi="Arial" w:cs="Arial"/>
            <w:color w:val="000080"/>
            <w:sz w:val="21"/>
            <w:szCs w:val="21"/>
            <w:u w:val="single"/>
            <w:lang w:eastAsia="tr-TR"/>
          </w:rPr>
          <w:t>Gübre İthaline İlişkin Tebliğ (İthalat: 2021/16)</w:t>
        </w:r>
      </w:hyperlink>
      <w:r w:rsidRPr="00FD477D">
        <w:rPr>
          <w:rFonts w:ascii="Arial" w:eastAsia="Times New Roman" w:hAnsi="Arial" w:cs="Arial"/>
          <w:color w:val="000000"/>
          <w:sz w:val="21"/>
          <w:szCs w:val="21"/>
          <w:lang w:eastAsia="tr-TR"/>
        </w:rPr>
        <w:t> yürürlükten kaldırılmıştır.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Atıflar</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8 –</w:t>
      </w:r>
      <w:r w:rsidRPr="00FD477D">
        <w:rPr>
          <w:rFonts w:ascii="Arial" w:eastAsia="Times New Roman" w:hAnsi="Arial" w:cs="Arial"/>
          <w:color w:val="000000"/>
          <w:sz w:val="21"/>
          <w:szCs w:val="21"/>
          <w:lang w:eastAsia="tr-TR"/>
        </w:rPr>
        <w:t> (1) 31/12/2020 tarihli ve 31351 üçüncü mükerrer sayılı Resmî Gazete’de yayımlanan Gübre İthaline İlişkin Tebliğ (İthalat: 2021/16)’e yapılan atıflar bu Tebliğe yapılmış sayılır.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lastRenderedPageBreak/>
        <w:t>Yürürlük</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9</w:t>
      </w:r>
      <w:r w:rsidRPr="00FD477D">
        <w:rPr>
          <w:rFonts w:ascii="Arial" w:eastAsia="Times New Roman" w:hAnsi="Arial" w:cs="Arial"/>
          <w:color w:val="000000"/>
          <w:sz w:val="21"/>
          <w:szCs w:val="21"/>
          <w:lang w:eastAsia="tr-TR"/>
        </w:rPr>
        <w:t> – (1) Bu Tebliğ 1/1/2022 tarihinde yürürlüğe girer.</w: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t>Yürütme</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000000"/>
          <w:sz w:val="21"/>
          <w:szCs w:val="21"/>
          <w:lang w:eastAsia="tr-TR"/>
        </w:rPr>
        <w:t>MADDE 10</w:t>
      </w:r>
      <w:r w:rsidRPr="00FD477D">
        <w:rPr>
          <w:rFonts w:ascii="Arial" w:eastAsia="Times New Roman" w:hAnsi="Arial" w:cs="Arial"/>
          <w:color w:val="000000"/>
          <w:sz w:val="21"/>
          <w:szCs w:val="21"/>
          <w:lang w:eastAsia="tr-TR"/>
        </w:rPr>
        <w:t> – (1) Bu Tebliğ hükümlerini Ticaret Bakanı yürütür.</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color w:val="000000"/>
          <w:sz w:val="21"/>
          <w:szCs w:val="21"/>
          <w:lang w:eastAsia="tr-TR"/>
        </w:rPr>
        <w:t> </w:t>
      </w:r>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b/>
          <w:bCs/>
          <w:color w:val="FF0000"/>
          <w:sz w:val="21"/>
          <w:szCs w:val="21"/>
          <w:lang w:eastAsia="tr-TR"/>
        </w:rPr>
        <w:t>EKLER</w:t>
      </w:r>
    </w:p>
    <w:p w:rsidR="00FD477D" w:rsidRPr="00FD477D" w:rsidRDefault="00FD477D" w:rsidP="00FD477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7" w:anchor="Ek1" w:history="1">
        <w:r w:rsidRPr="00FD477D">
          <w:rPr>
            <w:rFonts w:ascii="Arial" w:eastAsia="Times New Roman" w:hAnsi="Arial" w:cs="Arial"/>
            <w:b/>
            <w:bCs/>
            <w:i/>
            <w:iCs/>
            <w:color w:val="000080"/>
            <w:sz w:val="21"/>
            <w:szCs w:val="21"/>
            <w:u w:val="single"/>
            <w:lang w:eastAsia="tr-TR"/>
          </w:rPr>
          <w:t>Ek-1</w:t>
        </w:r>
      </w:hyperlink>
    </w:p>
    <w:p w:rsidR="00FD477D" w:rsidRPr="00FD477D" w:rsidRDefault="00FD477D" w:rsidP="00FD477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8" w:anchor="Ek2" w:history="1">
        <w:r w:rsidRPr="00FD477D">
          <w:rPr>
            <w:rFonts w:ascii="Arial" w:eastAsia="Times New Roman" w:hAnsi="Arial" w:cs="Arial"/>
            <w:b/>
            <w:bCs/>
            <w:i/>
            <w:iCs/>
            <w:color w:val="000080"/>
            <w:sz w:val="21"/>
            <w:szCs w:val="21"/>
            <w:u w:val="single"/>
            <w:lang w:eastAsia="tr-TR"/>
          </w:rPr>
          <w:t>Ek-2</w:t>
        </w:r>
      </w:hyperlink>
    </w:p>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color w:val="000000"/>
          <w:sz w:val="21"/>
          <w:szCs w:val="21"/>
          <w:lang w:eastAsia="tr-TR"/>
        </w:rPr>
        <w:t> </w:t>
      </w:r>
    </w:p>
    <w:p w:rsidR="00FD477D" w:rsidRPr="00FD477D" w:rsidRDefault="00FD477D" w:rsidP="00FD477D">
      <w:pPr>
        <w:spacing w:before="300" w:after="300" w:line="240" w:lineRule="auto"/>
        <w:rPr>
          <w:rFonts w:ascii="Times New Roman" w:eastAsia="Times New Roman" w:hAnsi="Times New Roman" w:cs="Times New Roman"/>
          <w:sz w:val="24"/>
          <w:szCs w:val="24"/>
          <w:lang w:eastAsia="tr-TR"/>
        </w:rPr>
      </w:pPr>
      <w:r w:rsidRPr="00FD477D">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bookmarkStart w:id="0" w:name="Ek1"/>
      <w:r w:rsidRPr="00FD477D">
        <w:rPr>
          <w:rFonts w:ascii="Arial" w:eastAsia="Times New Roman" w:hAnsi="Arial" w:cs="Arial"/>
          <w:color w:val="337AB7"/>
          <w:sz w:val="21"/>
          <w:szCs w:val="21"/>
          <w:lang w:eastAsia="tr-TR"/>
        </w:rPr>
        <w:t>Ek-1</w:t>
      </w:r>
      <w:bookmarkEnd w:id="0"/>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6500"/>
      </w:tblGrid>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b/>
                <w:bCs/>
                <w:sz w:val="21"/>
                <w:szCs w:val="21"/>
                <w:lang w:eastAsia="tr-TR"/>
              </w:rPr>
              <w:t>GTP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b/>
                <w:bCs/>
                <w:sz w:val="21"/>
                <w:szCs w:val="21"/>
                <w:lang w:eastAsia="tr-TR"/>
              </w:rPr>
              <w:t>Eşyanın Tanımı</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2834.21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potasyum nitrat</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3002.49.00.00.00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bitki büyümesine yardımcı mikroorganizma kültürleri (mikrobiyal gübre)</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Hayvansal veya bitkisel gübreler (birbirleriyle karıştırılmış veya kimyasal olarak işlem görmüş olsun olmasın); bitkisel veya hayvansal menşeli gübrelerin kimyasal bir işleme tabi tutulmasından veya karıştırılmasından elde edilen gübreler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Amonyum nitrat (sulu çözelti halinde olsun olmasın) (yalnız narkoz gazı imaline mahsus saf amonyum nitrat ile genel güvenlik ve asayiş yönünden İçişleri Bakanlığının (Emniyet Genel Müdürlüğü) iznine tabi olan yalnız %34,5 ve üzeri azot (nitrojen) içeren teknik amonyum nitrat hariç)</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Amonyum nitratın kalsiyum karbonatla veya bitki besin maddesi olmayan diğer inorganik maddelerle karışımları</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Sodyum nitrat</w:t>
            </w:r>
          </w:p>
        </w:tc>
      </w:tr>
    </w:tbl>
    <w:p w:rsidR="00FD477D" w:rsidRPr="00FD477D" w:rsidRDefault="00FD477D" w:rsidP="00FD477D">
      <w:pPr>
        <w:spacing w:before="300" w:after="300" w:line="240" w:lineRule="auto"/>
        <w:rPr>
          <w:rFonts w:ascii="Times New Roman" w:eastAsia="Times New Roman" w:hAnsi="Times New Roman" w:cs="Times New Roman"/>
          <w:sz w:val="24"/>
          <w:szCs w:val="24"/>
          <w:lang w:eastAsia="tr-TR"/>
        </w:rPr>
      </w:pPr>
      <w:r w:rsidRPr="00FD477D">
        <w:rPr>
          <w:rFonts w:ascii="Times New Roman" w:eastAsia="Times New Roman" w:hAnsi="Times New Roman" w:cs="Times New Roman"/>
          <w:sz w:val="24"/>
          <w:szCs w:val="24"/>
          <w:lang w:eastAsia="tr-TR"/>
        </w:rPr>
        <w:pict>
          <v:rect id="_x0000_i1026" style="width:0;height:0" o:hralign="center" o:hrstd="t" o:hrnoshade="t" o:hr="t" fillcolor="black" stroked="f"/>
        </w:pict>
      </w:r>
    </w:p>
    <w:p w:rsidR="00FD477D" w:rsidRPr="00FD477D" w:rsidRDefault="00FD477D" w:rsidP="00FD477D">
      <w:pPr>
        <w:shd w:val="clear" w:color="auto" w:fill="FFFFFF"/>
        <w:spacing w:after="150" w:line="240" w:lineRule="auto"/>
        <w:rPr>
          <w:rFonts w:ascii="Arial" w:eastAsia="Times New Roman" w:hAnsi="Arial" w:cs="Arial"/>
          <w:color w:val="FF0000"/>
          <w:sz w:val="21"/>
          <w:szCs w:val="21"/>
          <w:lang w:eastAsia="tr-TR"/>
        </w:rPr>
      </w:pPr>
      <w:r w:rsidRPr="00FD477D">
        <w:rPr>
          <w:rFonts w:ascii="Arial" w:eastAsia="Times New Roman" w:hAnsi="Arial" w:cs="Arial"/>
          <w:color w:val="FF0000"/>
          <w:sz w:val="21"/>
          <w:szCs w:val="21"/>
          <w:lang w:eastAsia="tr-TR"/>
        </w:rPr>
        <w:br/>
      </w:r>
      <w:bookmarkStart w:id="1" w:name="Ek2"/>
      <w:r w:rsidRPr="00FD477D">
        <w:rPr>
          <w:rFonts w:ascii="Arial" w:eastAsia="Times New Roman" w:hAnsi="Arial" w:cs="Arial"/>
          <w:color w:val="337AB7"/>
          <w:sz w:val="21"/>
          <w:szCs w:val="21"/>
          <w:lang w:eastAsia="tr-TR"/>
        </w:rPr>
        <w:t>Ek-2</w:t>
      </w:r>
      <w:bookmarkEnd w:id="1"/>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6500"/>
      </w:tblGrid>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b/>
                <w:bCs/>
                <w:sz w:val="21"/>
                <w:szCs w:val="21"/>
                <w:lang w:eastAsia="tr-TR"/>
              </w:rPr>
              <w:t>GTP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b/>
                <w:bCs/>
                <w:sz w:val="21"/>
                <w:szCs w:val="21"/>
                <w:lang w:eastAsia="tr-TR"/>
              </w:rPr>
              <w:t>Eşyanın Tanımı</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2832.30.00.20.00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amonyum tiyosülfat</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2832.30.00.90.00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potasyum tiyosülfat</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2834.29.80.11.00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ve ağırlıkça %16 veya daha az azot içeren kalsiyum nitrat</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2834.29.80.12.00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ve tablet, pastil ve diğer benzeri şekillerde olanlar ile ambalajlı brüt ağırlığı en fazla 10 kg olan kalsiyum nitrat</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2834.29.80.19.00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diğer kalsiyum nitratlar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2834.29.80.20.11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magnezyum nitrat ve magnezyum nitrat çözeltisi</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Üre (Sulu çözelti halinde olsun olmasın)</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Amonyum sülfat</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Diğerleri</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lastRenderedPageBreak/>
              <w:t>3102.60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Kalsiyum nitrat ve amonyum nitratın çift tuzları ve karışımları</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3102.80.00.00.00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Üre ve amonyum nitratın sulu veya amonyaklı çözeltiler içindeki karışımları</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3102.90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Diğerleri (Yukarıdaki alt pozisyonlarda belirtilmeyen karışımlar dâhil)</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Fosfatlı mineral veya kimyasal gübreler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Potaslı mineral veya kimyasal gübreler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31.05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Bitki besin maddeleri olan azot, fosfor ve potasyumun ikisini veya üçünü içeren mineral veya kimyasal gübreler; diğer gübreler; bu fasıldaki ürünlerin tablet veya benzeri şekillerde veya brüt ağırlığı 10 kg’ı geçmeyen ambalajlarda olanları</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3824.84.00.00.00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aldrin (ISO), camphechlor (ISO) (toxaphene), chlordane (ISO), chlordecone (ISO), DDT (ISO) (clofenotane (INN), 1,1,1-trichloro-2,2-bis(p-chlorophenyl)ethane), dieldrin (ISO, INN),endosulfan (ISO), endrin (ISO), heptachlor (ISO) veya mirex (ISO) içerenler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3824.85.00.00.00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lindane (ISO, INN) dahil, 1,2,3,4,5,6 hexachlorocyclohexane (HCH (ISO)) içerenler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3824.86.00.00.00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pentachlorobenzene (ISO) veya hexachlorobenzene (ISO) içerenler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3824.87.00.00.00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perfluorooctane sülfonik asit, tuzları, perfluorooctane, sülfonamidler veya perfluorooctane sulphonyl fluoride içerenler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3824.88.00.00.00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Yalnız gübre olarak kullanılan tetra-, penta-, hexa- hepta- veya octabromodiphenyl eterleri içerenler</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3824.99.92.00.39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Diğerleri (Yalnız gübre olarak kullanılan)</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3824.99.93.00.19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Diğerleri (Yalnız gübre olarak kullanılan)</w:t>
            </w:r>
          </w:p>
        </w:tc>
      </w:tr>
      <w:tr w:rsidR="00FD477D" w:rsidRPr="00FD477D" w:rsidTr="00FD47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3824.99.96.90.68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477D" w:rsidRPr="00FD477D" w:rsidRDefault="00FD477D" w:rsidP="00FD477D">
            <w:pPr>
              <w:spacing w:after="0" w:line="240" w:lineRule="auto"/>
              <w:rPr>
                <w:rFonts w:ascii="Arial" w:eastAsia="Times New Roman" w:hAnsi="Arial" w:cs="Arial"/>
                <w:sz w:val="21"/>
                <w:szCs w:val="21"/>
                <w:lang w:eastAsia="tr-TR"/>
              </w:rPr>
            </w:pPr>
            <w:r w:rsidRPr="00FD477D">
              <w:rPr>
                <w:rFonts w:ascii="Arial" w:eastAsia="Times New Roman" w:hAnsi="Arial" w:cs="Arial"/>
                <w:sz w:val="21"/>
                <w:szCs w:val="21"/>
                <w:lang w:eastAsia="tr-TR"/>
              </w:rPr>
              <w:t>Diğerleri (Yalnız gübre olarak kullanılan)</w:t>
            </w:r>
          </w:p>
        </w:tc>
      </w:tr>
    </w:tbl>
    <w:p w:rsidR="00FD477D" w:rsidRPr="00FD477D" w:rsidRDefault="00FD477D" w:rsidP="00FD477D">
      <w:pPr>
        <w:shd w:val="clear" w:color="auto" w:fill="FFFFFF"/>
        <w:spacing w:after="150" w:line="240" w:lineRule="auto"/>
        <w:rPr>
          <w:rFonts w:ascii="Arial" w:eastAsia="Times New Roman" w:hAnsi="Arial" w:cs="Arial"/>
          <w:color w:val="000000"/>
          <w:sz w:val="21"/>
          <w:szCs w:val="21"/>
          <w:lang w:eastAsia="tr-TR"/>
        </w:rPr>
      </w:pPr>
      <w:r w:rsidRPr="00FD477D">
        <w:rPr>
          <w:rFonts w:ascii="Arial" w:eastAsia="Times New Roman" w:hAnsi="Arial" w:cs="Arial"/>
          <w:color w:val="000000"/>
          <w:sz w:val="21"/>
          <w:szCs w:val="21"/>
          <w:lang w:eastAsia="tr-TR"/>
        </w:rPr>
        <w:br/>
        <w:t> </w:t>
      </w:r>
    </w:p>
    <w:p w:rsidR="00CE5C8B" w:rsidRDefault="00CE5C8B">
      <w:bookmarkStart w:id="2" w:name="_GoBack"/>
      <w:bookmarkEnd w:id="2"/>
    </w:p>
    <w:sectPr w:rsidR="00CE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05196"/>
    <w:multiLevelType w:val="multilevel"/>
    <w:tmpl w:val="6C1E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E3"/>
    <w:rsid w:val="006C2CE3"/>
    <w:rsid w:val="00CE5C8B"/>
    <w:rsid w:val="00FD4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37E49-9D7F-4AC2-A8EE-0C9AC716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D4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477D"/>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FD47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D47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D4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ithalat/2021/2021_rejim.aspx" TargetMode="External"/><Relationship Id="rId13" Type="http://schemas.openxmlformats.org/officeDocument/2006/relationships/hyperlink" Target="https://www.mevzuat.net/ithalat/2022/ithalat202216.aspx" TargetMode="External"/><Relationship Id="rId18" Type="http://schemas.openxmlformats.org/officeDocument/2006/relationships/hyperlink" Target="https://www.mevzuat.net/ithalat/2022/ithalat202216.aspx" TargetMode="External"/><Relationship Id="rId3" Type="http://schemas.openxmlformats.org/officeDocument/2006/relationships/settings" Target="settings.xml"/><Relationship Id="rId7" Type="http://schemas.openxmlformats.org/officeDocument/2006/relationships/hyperlink" Target="https://www.mevzuat.net/gumruk/kanunlar/ckarar_2018_1.aspx" TargetMode="External"/><Relationship Id="rId12" Type="http://schemas.openxmlformats.org/officeDocument/2006/relationships/hyperlink" Target="https://www.mevzuat.net/ithalat/2022/ithalat202216.aspx" TargetMode="External"/><Relationship Id="rId17" Type="http://schemas.openxmlformats.org/officeDocument/2006/relationships/hyperlink" Target="https://www.mevzuat.net/ithalat/2022/ithalat202216.aspx" TargetMode="External"/><Relationship Id="rId2" Type="http://schemas.openxmlformats.org/officeDocument/2006/relationships/styles" Target="styles.xml"/><Relationship Id="rId16" Type="http://schemas.openxmlformats.org/officeDocument/2006/relationships/hyperlink" Target="https://www.mevzuat.net/ithalat/2021/ithalat202116.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vzuat.net/ithalat/2022/ithalat202216.aspx" TargetMode="External"/><Relationship Id="rId11" Type="http://schemas.openxmlformats.org/officeDocument/2006/relationships/hyperlink" Target="https://www.mevzuat.net/ithalat/2022/ithalat202216.aspx" TargetMode="External"/><Relationship Id="rId5" Type="http://schemas.openxmlformats.org/officeDocument/2006/relationships/hyperlink" Target="https://www.mevzuat.net/ithalat/2022/ithalat202216.aspx" TargetMode="External"/><Relationship Id="rId15" Type="http://schemas.openxmlformats.org/officeDocument/2006/relationships/hyperlink" Target="https://www.mevzuat.net/ithalat/2022/ithalat202216.aspx" TargetMode="External"/><Relationship Id="rId10" Type="http://schemas.openxmlformats.org/officeDocument/2006/relationships/hyperlink" Target="https://www.mevzuat.net/ithalat/2022/ithalat202216.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vzuat.net/ithalat/2022/ithalat202216.aspx" TargetMode="External"/><Relationship Id="rId14" Type="http://schemas.openxmlformats.org/officeDocument/2006/relationships/hyperlink" Target="https://www.mevzuat.net/ithalat/2022/ithalat202216.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2022-08-15T07:30:00Z</dcterms:created>
  <dcterms:modified xsi:type="dcterms:W3CDTF">2022-08-15T07:30:00Z</dcterms:modified>
</cp:coreProperties>
</file>